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16" w:rsidRPr="00635816" w:rsidRDefault="00635816" w:rsidP="00635816">
      <w:pPr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color w:val="CC1345"/>
          <w:kern w:val="36"/>
          <w:sz w:val="67"/>
          <w:szCs w:val="67"/>
          <w:lang w:eastAsia="ru-RU"/>
        </w:rPr>
      </w:pPr>
      <w:r w:rsidRPr="00635816">
        <w:rPr>
          <w:rFonts w:ascii="Times New Roman" w:eastAsia="Times New Roman" w:hAnsi="Times New Roman" w:cs="Times New Roman"/>
          <w:color w:val="CC1345"/>
          <w:kern w:val="36"/>
          <w:sz w:val="67"/>
          <w:szCs w:val="67"/>
          <w:lang w:eastAsia="ru-RU"/>
        </w:rPr>
        <w:t>Обеспечение доступности объекта и услуг инвалидам и другим МГН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FF00FF"/>
          <w:sz w:val="26"/>
          <w:lang w:eastAsia="ru-RU"/>
        </w:rPr>
        <w:t>С 01 января 2018 г. министерство образования и науки Хабаровского края в рамках проведения контрольно-надзорных мероприятий при осуществлении переданных полномочий Российской Федерации по государственному контролю (надзору) в сфере образования осуществляет государственный контроль (надзор) за обеспечением доступности для инвалидов объектов организаций, осуществляющих образовательную деятельность, и предоставляемых образовательные услуги.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В связи с ратификацией Российской Федерацией в 2012 году Конвенц</w:t>
      </w: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ии ОО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Н о правах инвалидов, принятием в течение последних лет в Российской Федерации ряда нормативно-правовых актов с целью реализации положений данной Конвенции создана обновленная правовая база для создания доступной среды для инвалидов.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С 01 января 2018 г. вступает в силу Федеральный закон от 07 июня 2017 г. № 116-ФЗ «О внесении изменений в Федеральный закон</w:t>
      </w: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„О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 социальной защите инвалидов в Российской Федерации» (далее — Федеральный закон № 116-ФЗ), в соответствии с которым функции по осуществлению государственного контроля (надзора) в сфере обеспечения доступности для инвалидов объектов и услуг возложены на уполномоченные федеральные органы исполнительной власти и органы исполнительной власти субъектов Российской Федерации, которые в настоящее время уже осуществляют государственный контроль (надзор) в соответствующих сферах (транспорта, связи и информации, образования, культуры, здравоохранения, градостроительства, жилищно-коммунального обслуживания и других).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В связи с этим государственный контроль (надзор) за обеспечением доступности для инвалидов объектов организаций, осуществляющих образовательную деятельность (за исключением организаций, указанных в пункте 7 части 1 статьи 6 Федерального закона от 29 декабря 2012 г. № 273-ФЗ «Об образовании в Российской Федерации»), и предоставляемых образовательных услуг, Министерство образования и науки Хабаровского края (далее — Министерство) с 01 января 2018 г. будет осуществлять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в рамках проведения контрольно-надзорных мероприятий при </w:t>
      </w: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lastRenderedPageBreak/>
        <w:t>осуществлении переданных полномочий Российской Федерации по государственному контролю (надзору) в сфере образования.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В соответствии с частью 5 статьи 5 Федерального закона от 29 декабря 2012 г. № 273-ФЗ «Об образовании в Российской Федерации“ (далее — Федеральный закон № 273-ФЗ) в целях реализации права каждого человека на образование федеральными государственными органами, органами государственной власти субъектов Российской Федерации и органами местного самоуправления создаются необходимые условия для получения без дискриминации качественного образования лицами с ограниченными возможностями здоровья, для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</w:t>
      </w: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коррекции нарушений развития и социальной адаптации, оказания ранней коррекционной помощи на основе специальных педагогических подходов и наиболее подходящих для этих лиц языков, методов и способов общения и условия, в максимальной степени способствующие получению образования определенного уровня и определенной направленности, а также социальному развитию этих лиц, в том числе посредством организации инклюзивного образования лиц с ограниченными возможностями здоровья.</w:t>
      </w:r>
      <w:proofErr w:type="gramEnd"/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Частью 6 статьи 11 Федерального закона № 273-ФЗ предусмотрено, что в целях обеспечения реализации права на образование обучающихся с 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 федеральные государственные образовательные стандарты специальные требования.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Согласно статье 79 Федерального закона № 273-ФЗ общее образование обучающихся с ограниченными возможностями здоровья осуществляется в организациях, осуществляющих образовательную деятельность по адаптированным основным общеобразовательным программам.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В таких организациях создаются специальные условия для получения образования указанными обучающимися.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Под специальными </w:t>
      </w: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условиями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для получения образования обучающимися с ОВЗ следует понимать особые требования к материально-технической составляющей образовательной организации, организации образовательного процесса, содержанию образовательных программ, адаптированные под возможности обучающихся с ОВЗ и обеспечивающие получение ими полноценного образования соответствующего уровня.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Специальные условия для получения образования подразумевают условия обучения, воспитания и развития, включающие в себя: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lastRenderedPageBreak/>
        <w:t>- использование специальных образовательных программ и методов обучения и воспитания,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использование специальных учебников, учебных пособий и дидактических материалов,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использование специальных технических средств обучения коллективного и индивидуального пользования,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- предоставление услуг ассистента (помощника), оказывающего </w:t>
      </w: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обучающимся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необходимую техническую помощь,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проведение групповых и индивидуальных коррекционных занятий,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обеспечение доступа в здания организаций, осуществляющих образовательную деятельность, и другие условия, без которых невозможно или затруднено освоение образовательных программ обучающимися с ограниченными возможностями здоровья.</w:t>
      </w:r>
      <w:proofErr w:type="gramEnd"/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Образование обучающихся с ограниченными возможностями здоровья может быть организовано как совместно с другими обучающимися, так и в отдельных классах, группах или в отдельных организациях, осуществляющих образовательную деятельность.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Отдельные организации, осуществляющие образовательную деятельность по 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 тяжелыми нарушениями речи, с нарушениями опорно-двигательного аппарата, с задержкой психического развития, с умственной отсталостью, с расстройствами </w:t>
      </w:r>
      <w:proofErr w:type="spell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аутистического</w:t>
      </w:r>
      <w:proofErr w:type="spell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спектра, со сложными дефектами и других обучающихся с ограниченными возможностями здоровья.</w:t>
      </w:r>
      <w:proofErr w:type="gramEnd"/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В организациях, осуществляющих образовательную деятельность, должно быть обеспечено создание инвалидам условий доступности объектов и услуг в сфере образования в соответствии с требованиями, установленными: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Федеральным законом № 273-ФЗ;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Порядком обеспечения условий доступности для инвалидов объектов и предоставляемых услуг в сфере образования, а также оказания им при этом необходимой помощи, утвержденным приказом Министерства образования и науки Российской Федерации от 09 ноября 2015 г. № 1309;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lastRenderedPageBreak/>
        <w:t>- Порядком организации и осуществления образовательной деятельности по образовательным программам среднего профессионального образования, утвержденным приказом Министерства образования и науки Российской Федерации от 14 июня 2013 г. № 464;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Порядком организации и осуществления образовательной деятельности по дополнительным общеобразовательным программам, утвержденным приказом Министерства образования и науки Российской Федерации от 29 августа 2013 г. № 1008;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Порядком организации и осуществления образовательной деятельности по основным общеобразовательным программам — образовательным программам дошкольного образования, утвержденным приказом Министерства образования и науки Российской Федерации от 30 августа 2013 г. № 1014;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приказом Министерства образования и науки Российской Федерации от 30 августа 2013 г. № 1015.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Порядком обеспечения условий доступности для инвалидов объектов и предоставляемых услуг в сфере образования, а также оказания им при этом необходимой помощи», утвержденным приказом Министерства образования и науки Российской Федерации от 09 ноября 2015 г. № 1309 определены правила обеспечения условий доступности для инвалидов объектов (это административные здания, строения, сооружения и помещения) и услуг в сфере образования для </w:t>
      </w:r>
      <w:proofErr w:type="spell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Минобрнауки</w:t>
      </w:r>
      <w:proofErr w:type="spell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России, Федеральной службы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</w:t>
      </w: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по надзору в сфере образования и науки, Федерального агентства по делам молодежи, подведомственных </w:t>
      </w:r>
      <w:proofErr w:type="spell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Минобрнауки</w:t>
      </w:r>
      <w:proofErr w:type="spell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России образовательных организаций, для органов государственной власти субъектов Российской Федерации, осуществляющих государственное управление в сфере образования, органов местного самоуправления, осуществляющих управление в сфере образования, подведомственных органам организаций (вступил в силу с 1 января 2016 г. и является обязательным для исполнения).</w:t>
      </w:r>
      <w:proofErr w:type="gramEnd"/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К отношениям, связанным с осуществлением государственного контроля (надзора) за обеспечением доступности для инвалидов объектов социальной, инженерной и транспортной инфраструктур и предоставляемых услуг, применяются положения Федерального закона от 26 декабря 2008 г. № 294-ФЗ «О защите прав юридических лиц и индивидуальных предпринимателей при осуществлении государственного контроля (надзора) и муниципального контроля».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lastRenderedPageBreak/>
        <w:t>Таким образом, с 01 января 2018 г. государственный контроль (надзор) за обеспечением доступности для инвалидов объектов организаций, осуществляющих образовательную деятельность, и предоставляемых образовательных услуг Министерством будет осуществляться в рамках проведения проверок, в соответствии с планом проведения Министерством плановых проверок юридических лиц и индивидуальных предпринимателей на 2018 год, утвержденным распоряжением Министерства от 30 октября 2017 г. № 1591.</w:t>
      </w:r>
      <w:proofErr w:type="gramEnd"/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На сайте министерства социальной защиты населения Хабаровского края (https://mszn27.ru/node/16859) размещено методическое пособие по вопросам обеспечения доступности для инвалидов услуг и объектов, на которых они предоставляются, оказания при этом необходимой помощи.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b/>
          <w:bCs/>
          <w:i/>
          <w:iCs/>
          <w:color w:val="FF0000"/>
          <w:sz w:val="26"/>
          <w:u w:val="single"/>
          <w:lang w:eastAsia="ru-RU"/>
        </w:rPr>
        <w:t>Обеспечение доступа в здание ДОУ.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Главный вход ДОУ оборудован пандусом для обеспечения беспрепятственного доступа в здание лиц с нарушением </w:t>
      </w:r>
      <w:proofErr w:type="spell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опорно</w:t>
      </w:r>
      <w:proofErr w:type="spell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–двигательного аппарата; входная площадка имеет навес, возле входной двери имеется кнопка вызова персонала, обеспечивающая доступ инвалиду или лицу с ОВЗ в здание ДОУ, расширен главный вход. Здание оснащено системой противопожарной сигнализации и световым табло «Выход», видеонаблюдением.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МБДОУ детский сад № 1 р. п. Хор функционирует с 1971 года. Здание двухэтажное, кирпичное.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Конструктивные особенности здания не предусматривают наличие подъемников, других приспособлений, обеспечивающих доступ инвалидов и лиц с ограниченными возможностями здоровья (ОВЗ) в группы и другие помещения ДОУ на втором этаже. </w:t>
      </w:r>
      <w:proofErr w:type="spell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Тифлотехника</w:t>
      </w:r>
      <w:proofErr w:type="spell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 матрасы специализированного назначения в ДОУ отсутствуют. Доступ к кабинету заведующего, методическому и медицинскому кабинетам, туалету обеспечен посредством предоставления сопровождающего лица.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В ДОУ </w:t>
      </w:r>
      <w:proofErr w:type="gram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разработаны</w:t>
      </w:r>
      <w:proofErr w:type="gram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и утверждены приказами заведующего: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Паспорт доступности объекта социальной инфраструктуры;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локальный акт «Временный порядок предоставления услуг инвалидам на объекте МБДОУ детский сад № 1 р. п. Хор»;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lastRenderedPageBreak/>
        <w:t xml:space="preserve">- приказ «О назначении ответственных лиц по оказанию помощи инвалидам в сопровождении к месту получения услуг в МБДОУ </w:t>
      </w:r>
      <w:proofErr w:type="spell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д</w:t>
      </w:r>
      <w:proofErr w:type="spell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/с № 1 р. п. Хор»;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инструкция для сотрудников по обслуживанию инвалидов, лиц с ограниченными возможностями здоровья и </w:t>
      </w:r>
      <w:proofErr w:type="spellStart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маломобильных</w:t>
      </w:r>
      <w:proofErr w:type="spellEnd"/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 xml:space="preserve"> граждан при посещении МБДОУ детского сада № 1 р. п. Хор;</w:t>
      </w: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i/>
          <w:iCs/>
          <w:color w:val="0000FF"/>
          <w:sz w:val="26"/>
          <w:lang w:eastAsia="ru-RU"/>
        </w:rPr>
        <w:t>- должностная инструкция педагогического работника МБДОУ детского сада № 1 р. п. Хор по обеспечению доступности объекта и услуг инвалидам, а также оказания им помощи в сопровождении к месту получения услуг (общедоступного дошкольного образования).</w:t>
      </w: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</w:pPr>
    </w:p>
    <w:p w:rsidR="00635816" w:rsidRPr="00635816" w:rsidRDefault="00635816" w:rsidP="00635816">
      <w:pPr>
        <w:shd w:val="clear" w:color="auto" w:fill="FFF4F9"/>
        <w:spacing w:before="224" w:after="224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635816">
        <w:rPr>
          <w:rFonts w:ascii="Tahoma" w:eastAsia="Times New Roman" w:hAnsi="Tahoma" w:cs="Tahoma"/>
          <w:b/>
          <w:bCs/>
          <w:i/>
          <w:iCs/>
          <w:color w:val="FF0000"/>
          <w:sz w:val="26"/>
          <w:lang w:eastAsia="ru-RU"/>
        </w:rPr>
        <w:lastRenderedPageBreak/>
        <w:t>Электронный паспорт доступности</w:t>
      </w:r>
    </w:p>
    <w:tbl>
      <w:tblPr>
        <w:tblW w:w="12206" w:type="dxa"/>
        <w:tblInd w:w="1560" w:type="dxa"/>
        <w:shd w:val="clear" w:color="auto" w:fill="FFF4F9"/>
        <w:tblCellMar>
          <w:left w:w="0" w:type="dxa"/>
          <w:right w:w="0" w:type="dxa"/>
        </w:tblCellMar>
        <w:tblLook w:val="04A0"/>
      </w:tblPr>
      <w:tblGrid>
        <w:gridCol w:w="1993"/>
        <w:gridCol w:w="2181"/>
        <w:gridCol w:w="2113"/>
        <w:gridCol w:w="2113"/>
        <w:gridCol w:w="2113"/>
        <w:gridCol w:w="1693"/>
      </w:tblGrid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>Основные зоны на объекте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</w:p>
          <w:p w:rsidR="00635816" w:rsidRPr="00635816" w:rsidRDefault="00635816" w:rsidP="006358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>Инвалиды,</w:t>
            </w:r>
          </w:p>
          <w:p w:rsidR="00635816" w:rsidRPr="00635816" w:rsidRDefault="00635816" w:rsidP="006358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>передвигающиеся</w:t>
            </w:r>
            <w:proofErr w:type="gram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 xml:space="preserve"> на креслах — колясках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imes New Roman" w:eastAsia="Times New Roman" w:hAnsi="Times New Roman" w:cs="Times New Roman"/>
                <w:i/>
                <w:iCs/>
                <w:color w:val="0000FF"/>
                <w:sz w:val="36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>Инвалиды с нарушениями опорно-двигательного аппарата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>Инвалиды с нарушениями слуха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>Инвалиды с нарушениями зрения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6"/>
                <w:lang w:eastAsia="ru-RU"/>
              </w:rPr>
              <w:t>Инвалиды с нарушением умственного развития</w:t>
            </w:r>
          </w:p>
        </w:tc>
      </w:tr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Вход в здание и пути движения к зоне оказания услуг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Доступно условно. Имеется пандус.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На двери центрального входа имеется кнопка вызова персонала ДОУ, для дальнейшего сопровождения.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Доступно условно. Имеется пандус.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На двери центрального входа имеется кнопка вызова персонала ДОУ, для дальнейшего сопровождения.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Доступно условно. Имеется пандус.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На двери центрального входа имеется кнопка вызова персонала ДОУ, для дальнейшего сопровождения.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Доступно условно. Имеется пандус.</w:t>
            </w:r>
          </w:p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На двери центрального входа имеется кнопка вызова персонала ДОУ, для дальнейшего сопровождения (для инвалидов с частичным нарушением </w:t>
            </w: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зрения)</w:t>
            </w:r>
          </w:p>
        </w:tc>
        <w:tc>
          <w:tcPr>
            <w:tcW w:w="16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Доступно полностью</w:t>
            </w:r>
          </w:p>
        </w:tc>
      </w:tr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Парковочное место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13" w:type="dxa"/>
            <w:shd w:val="clear" w:color="auto" w:fill="FFF4F9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13" w:type="dxa"/>
            <w:shd w:val="clear" w:color="auto" w:fill="FFF4F9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113" w:type="dxa"/>
            <w:shd w:val="clear" w:color="auto" w:fill="FFF4F9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693" w:type="dxa"/>
            <w:shd w:val="clear" w:color="auto" w:fill="FFF4F9"/>
            <w:hideMark/>
          </w:tcPr>
          <w:p w:rsidR="00635816" w:rsidRPr="00635816" w:rsidRDefault="00635816" w:rsidP="00635816">
            <w:pPr>
              <w:spacing w:before="224" w:after="224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Территория образовательной организации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 (для инвалидов с частичным нарушением зрения)</w:t>
            </w:r>
          </w:p>
        </w:tc>
        <w:tc>
          <w:tcPr>
            <w:tcW w:w="16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Доступно полностью</w:t>
            </w:r>
          </w:p>
        </w:tc>
      </w:tr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Зона оказания услуг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 (для инвалидов с частичным нарушением зрения)</w:t>
            </w:r>
          </w:p>
        </w:tc>
        <w:tc>
          <w:tcPr>
            <w:tcW w:w="16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Доступно полностью</w:t>
            </w:r>
          </w:p>
        </w:tc>
      </w:tr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Санитарно-гигиеническое помещение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 xml:space="preserve">Доступно </w:t>
            </w:r>
            <w:proofErr w:type="spellStart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условнос</w:t>
            </w:r>
            <w:proofErr w:type="spellEnd"/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 помощью персонала (для инвалидов с частичным нарушением зрения)</w:t>
            </w:r>
          </w:p>
        </w:tc>
        <w:tc>
          <w:tcPr>
            <w:tcW w:w="16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Доступно полностью</w:t>
            </w:r>
          </w:p>
        </w:tc>
      </w:tr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Размещение оборудования и носителей информации с учетом потребностей инвалидов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16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</w:tr>
      <w:tr w:rsidR="00635816" w:rsidRPr="00635816" w:rsidTr="00635816">
        <w:tc>
          <w:tcPr>
            <w:tcW w:w="19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Дублирование звуковой и зрительной информации, в том числе с использованием шрифта Брайля</w:t>
            </w:r>
          </w:p>
        </w:tc>
        <w:tc>
          <w:tcPr>
            <w:tcW w:w="2181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211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  <w:tc>
          <w:tcPr>
            <w:tcW w:w="1693" w:type="dxa"/>
            <w:shd w:val="clear" w:color="auto" w:fill="FFF4F9"/>
            <w:vAlign w:val="center"/>
            <w:hideMark/>
          </w:tcPr>
          <w:p w:rsidR="00635816" w:rsidRPr="00635816" w:rsidRDefault="00635816" w:rsidP="00635816">
            <w:pPr>
              <w:spacing w:before="224" w:after="224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  <w:r w:rsidRPr="00635816">
              <w:rPr>
                <w:rFonts w:ascii="Tahoma" w:eastAsia="Times New Roman" w:hAnsi="Tahoma" w:cs="Tahoma"/>
                <w:i/>
                <w:iCs/>
                <w:color w:val="0000FF"/>
                <w:sz w:val="24"/>
                <w:szCs w:val="24"/>
                <w:lang w:eastAsia="ru-RU"/>
              </w:rPr>
              <w:t>Недоступно</w:t>
            </w:r>
          </w:p>
        </w:tc>
      </w:tr>
    </w:tbl>
    <w:p w:rsidR="00BC1237" w:rsidRDefault="00BC1237"/>
    <w:sectPr w:rsidR="00BC1237" w:rsidSect="006358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816"/>
    <w:rsid w:val="00635816"/>
    <w:rsid w:val="00BC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37"/>
  </w:style>
  <w:style w:type="paragraph" w:styleId="1">
    <w:name w:val="heading 1"/>
    <w:basedOn w:val="a"/>
    <w:link w:val="10"/>
    <w:uiPriority w:val="9"/>
    <w:qFormat/>
    <w:rsid w:val="00635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8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3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5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1989</Words>
  <Characters>11342</Characters>
  <Application>Microsoft Office Word</Application>
  <DocSecurity>0</DocSecurity>
  <Lines>94</Lines>
  <Paragraphs>26</Paragraphs>
  <ScaleCrop>false</ScaleCrop>
  <Company>Microsoft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2019-06-17T23:06:00Z</dcterms:created>
  <dcterms:modified xsi:type="dcterms:W3CDTF">2019-06-17T23:14:00Z</dcterms:modified>
</cp:coreProperties>
</file>